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rade Gothic;sans-serif" w:hAnsi="Trade Gothic;sans-serif"/>
          <w:b/>
          <w:color w:val="000000"/>
          <w:sz w:val="36"/>
        </w:rPr>
      </w:pPr>
      <w:r>
        <w:rPr>
          <w:rFonts w:ascii="Trade Gothic;sans-serif" w:hAnsi="Trade Gothic;sans-serif"/>
          <w:b/>
          <w:color w:val="000000"/>
          <w:sz w:val="36"/>
        </w:rPr>
        <w:t>UNITED STATES</w:t>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SECURITIES AND EXCHANGE COMMISSION</w:t>
      </w:r>
    </w:p>
    <w:p>
      <w:pPr>
        <w:pStyle w:val="TextBody"/>
        <w:bidi w:val="0"/>
        <w:spacing w:lineRule="auto" w:line="288" w:before="0" w:after="0"/>
        <w:jc w:val="center"/>
        <w:rPr/>
      </w:pPr>
      <w:r>
        <w:rPr>
          <w:rFonts w:ascii="Trade Gothic;sans-serif" w:hAnsi="Trade Gothic;sans-serif"/>
          <w:b/>
          <w:color w:val="000000"/>
          <w:sz w:val="24"/>
        </w:rPr>
        <w:t>Washington, D.C. 20549</w:t>
      </w:r>
      <w:r>
        <w:rPr>
          <w:color w:val="000000"/>
        </w:rPr>
        <w:t xml:space="preserve"> </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36"/>
        </w:rPr>
      </w:pPr>
      <w:r>
        <w:rPr>
          <w:rFonts w:ascii="Trade Gothic;sans-serif" w:hAnsi="Trade Gothic;sans-serif"/>
          <w:b/>
          <w:color w:val="000000"/>
          <w:sz w:val="36"/>
        </w:rPr>
        <w:t>FORM 8-K</w:t>
      </w:r>
    </w:p>
    <w:p>
      <w:pPr>
        <w:pStyle w:val="TextBody"/>
        <w:bidi w:val="0"/>
        <w:spacing w:before="0" w:after="0"/>
        <w:jc w:val="center"/>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CURRENT REPORT</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Pursuant to Section 13 or 15(d)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of The Securities Exchange Act of 1934</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Date of Report (Date of earliest event reported):</w:t>
      </w:r>
    </w:p>
    <w:p>
      <w:pPr>
        <w:pStyle w:val="TextBody"/>
        <w:bidi w:val="0"/>
        <w:spacing w:lineRule="auto" w:line="288" w:before="0" w:after="0"/>
        <w:jc w:val="center"/>
        <w:rPr>
          <w:rFonts w:ascii="Trade Gothic;sans-serif" w:hAnsi="Trade Gothic;sans-serif"/>
          <w:b/>
          <w:color w:val="000000"/>
          <w:sz w:val="24"/>
        </w:rPr>
      </w:pPr>
      <w:r>
        <w:rPr>
          <w:rFonts w:ascii="Trade Gothic;sans-serif" w:hAnsi="Trade Gothic;sans-serif"/>
          <w:b/>
          <w:color w:val="000000"/>
          <w:sz w:val="24"/>
        </w:rPr>
        <w:t>February 12, 2026</w:t>
      </w:r>
    </w:p>
    <w:p>
      <w:pPr>
        <w:pStyle w:val="TextBody"/>
        <w:bidi w:val="0"/>
        <w:spacing w:before="0" w:after="0"/>
        <w:jc w:val="center"/>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48"/>
        </w:rPr>
      </w:pPr>
      <w:r>
        <w:rPr>
          <w:rFonts w:ascii="Trade Gothic;sans-serif" w:hAnsi="Trade Gothic;sans-serif"/>
          <w:b/>
          <w:color w:val="000000"/>
          <w:sz w:val="48"/>
        </w:rPr>
        <w:t>SpyGlass Pharma, Inc.</w:t>
      </w:r>
    </w:p>
    <w:p>
      <w:pPr>
        <w:pStyle w:val="TextBody"/>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(Exact name of registrant as specified in its charter)</w:t>
      </w:r>
    </w:p>
    <w:p>
      <w:pPr>
        <w:pStyle w:val="TextBody"/>
        <w:bidi w:val="0"/>
        <w:spacing w:before="0" w:after="0"/>
        <w:jc w:val="center"/>
        <w:rPr/>
      </w:pPr>
      <w:r>
        <w:rPr/>
      </w:r>
    </w:p>
    <w:tbl>
      <w:tblPr>
        <w:tblW w:w="8242" w:type="dxa"/>
        <w:jc w:val="left"/>
        <w:tblInd w:w="0" w:type="dxa"/>
        <w:tblLayout w:type="fixed"/>
        <w:tblCellMar>
          <w:top w:w="28" w:type="dxa"/>
          <w:left w:w="28" w:type="dxa"/>
          <w:bottom w:w="28" w:type="dxa"/>
          <w:right w:w="28" w:type="dxa"/>
        </w:tblCellMar>
      </w:tblPr>
      <w:tblGrid>
        <w:gridCol w:w="1060"/>
        <w:gridCol w:w="930"/>
        <w:gridCol w:w="934"/>
        <w:gridCol w:w="109"/>
        <w:gridCol w:w="109"/>
        <w:gridCol w:w="109"/>
        <w:gridCol w:w="902"/>
        <w:gridCol w:w="902"/>
        <w:gridCol w:w="910"/>
        <w:gridCol w:w="109"/>
        <w:gridCol w:w="109"/>
        <w:gridCol w:w="109"/>
        <w:gridCol w:w="571"/>
        <w:gridCol w:w="571"/>
        <w:gridCol w:w="808"/>
      </w:tblGrid>
      <w:tr>
        <w:trPr/>
        <w:tc>
          <w:tcPr>
            <w:tcW w:w="106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65" w:after="20"/>
              <w:jc w:val="center"/>
              <w:rPr>
                <w:rFonts w:ascii="Trade Gothic;sans-serif" w:hAnsi="Trade Gothic;sans-serif"/>
                <w:b/>
                <w:color w:val="000000"/>
                <w:sz w:val="20"/>
              </w:rPr>
            </w:pPr>
            <w:r>
              <w:rPr>
                <w:rFonts w:ascii="Trade Gothic;sans-serif" w:hAnsi="Trade Gothic;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rade Gothic;sans-serif" w:hAnsi="Trade Gothic;sans-serif"/>
                <w:b/>
                <w:color w:val="000000"/>
                <w:sz w:val="20"/>
              </w:rPr>
            </w:pPr>
            <w:r>
              <w:rPr>
                <w:rFonts w:ascii="Trade Gothic;sans-serif" w:hAnsi="Trade Gothic;sans-serif"/>
                <w:b/>
                <w:color w:val="000000"/>
                <w:sz w:val="20"/>
              </w:rPr>
              <w:t>001-43105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88" w:before="65" w:after="20"/>
              <w:jc w:val="center"/>
              <w:rPr>
                <w:rFonts w:ascii="Trade Gothic;sans-serif" w:hAnsi="Trade Gothic;sans-serif"/>
                <w:b/>
                <w:color w:val="000000"/>
                <w:sz w:val="20"/>
              </w:rPr>
            </w:pPr>
            <w:r>
              <w:rPr>
                <w:rFonts w:ascii="Trade Gothic;sans-serif" w:hAnsi="Trade Gothic;sans-serif"/>
                <w:b/>
                <w:color w:val="000000"/>
                <w:sz w:val="20"/>
              </w:rPr>
              <w:t>83-3044245</w:t>
            </w:r>
          </w:p>
        </w:tc>
      </w:tr>
      <w:tr>
        <w:trPr/>
        <w:tc>
          <w:tcPr>
            <w:tcW w:w="2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(State or other jurisdiction of</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(IRS Employer</w:t>
            </w:r>
          </w:p>
          <w:p>
            <w:pPr>
              <w:pStyle w:val="TableContents"/>
              <w:bidi w:val="0"/>
              <w:spacing w:lineRule="auto" w:line="288" w:before="0" w:after="0"/>
              <w:jc w:val="center"/>
              <w:rPr>
                <w:color w:val="000000"/>
              </w:rPr>
            </w:pPr>
            <w:r>
              <w:rPr>
                <w:color w:val="000000"/>
              </w:rPr>
              <w:t> </w:t>
            </w:r>
            <w:r>
              <w:rPr>
                <w:rFonts w:ascii="Trade Gothic;sans-serif" w:hAnsi="Trade Gothic;sans-serif"/>
                <w:b w:val="false"/>
                <w:color w:val="000000"/>
                <w:sz w:val="20"/>
              </w:rPr>
              <w:t>Identification No.)</w:t>
            </w:r>
          </w:p>
        </w:tc>
      </w:tr>
    </w:tbl>
    <w:p>
      <w:pPr>
        <w:pStyle w:val="TextBody"/>
        <w:bidi w:val="0"/>
        <w:spacing w:lineRule="auto" w:line="268" w:before="0" w:after="0"/>
        <w:jc w:val="center"/>
        <w:rPr>
          <w:rFonts w:ascii="Trade Gothic;sans-serif" w:hAnsi="Trade Gothic;sans-serif"/>
          <w:b/>
          <w:color w:val="000000"/>
          <w:sz w:val="20"/>
        </w:rPr>
      </w:pPr>
      <w:r>
        <w:rPr>
          <w:rFonts w:ascii="Trade Gothic;sans-serif" w:hAnsi="Trade Gothic;sans-serif"/>
          <w:b/>
          <w:color w:val="000000"/>
          <w:sz w:val="20"/>
        </w:rPr>
        <w:t>27061 Aliso Creek Rd., Suite 100</w:t>
      </w:r>
    </w:p>
    <w:p>
      <w:pPr>
        <w:pStyle w:val="TextBody"/>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Aliso Viejo, California 92656</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(949) 284-6904</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Not Applicable</w:t>
      </w:r>
    </w:p>
    <w:p>
      <w:pPr>
        <w:pStyle w:val="TextBody"/>
        <w:bidi w:val="0"/>
        <w:spacing w:lineRule="auto" w:line="288" w:before="0" w:after="0"/>
        <w:jc w:val="center"/>
        <w:rPr>
          <w:rFonts w:ascii="Trade Gothic;sans-serif" w:hAnsi="Trade Gothic;sans-serif"/>
          <w:b/>
          <w:color w:val="000000"/>
          <w:sz w:val="16"/>
        </w:rPr>
      </w:pPr>
      <w:r>
        <w:rPr>
          <w:rFonts w:ascii="Trade Gothic;sans-serif" w:hAnsi="Trade Gothic;sans-serif"/>
          <w:b/>
          <w:color w:val="000000"/>
          <w:sz w:val="16"/>
        </w:rPr>
        <w:t>(Former name or former address, if changed since last report)</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rFonts w:ascii="Trade Gothic;sans-serif" w:hAnsi="Trade Gothic;sans-serif"/>
          <w:b w:val="false"/>
          <w:color w:val="000000"/>
          <w:sz w:val="20"/>
        </w:rPr>
      </w:pPr>
      <w:r>
        <w:rPr>
          <w:rFonts w:ascii="Trade Gothic;sans-serif" w:hAnsi="Trade Gothic;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5"/>
        <w:gridCol w:w="2872"/>
        <w:gridCol w:w="40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20"/>
              </w:rPr>
            </w:pPr>
            <w:r>
              <w:rPr>
                <w:rFonts w:ascii="Trade Gothic;sans-serif" w:hAnsi="Trade Gothic;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20"/>
              </w:rPr>
            </w:pPr>
            <w:r>
              <w:rPr>
                <w:rFonts w:ascii="Trade Gothic;sans-serif" w:hAnsi="Trade Gothic;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20"/>
              </w:rPr>
            </w:pPr>
            <w:r>
              <w:rPr>
                <w:rFonts w:ascii="Trade Gothic;sans-serif" w:hAnsi="Trade Gothic;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20"/>
              </w:rPr>
            </w:pPr>
            <w:r>
              <w:rPr>
                <w:rFonts w:ascii="Trade Gothic;sans-serif" w:hAnsi="Trade Gothic;sans-serif"/>
                <w:b w:val="false"/>
                <w:color w:val="000000"/>
                <w:sz w:val="20"/>
              </w:rPr>
              <w:t>Pre-commencement communications pursuant to Rule 13e-4(c) under the Exchange Act (17 CFR 240.13e-4(c))</w:t>
            </w:r>
          </w:p>
        </w:tc>
      </w:tr>
    </w:tbl>
    <w:p>
      <w:pPr>
        <w:pStyle w:val="TextBody"/>
        <w:bidi w:val="0"/>
        <w:spacing w:lineRule="auto" w:line="288" w:before="240" w:after="240"/>
        <w:jc w:val="both"/>
        <w:rPr>
          <w:rFonts w:ascii="Trade Gothic;sans-serif" w:hAnsi="Trade Gothic;sans-serif"/>
          <w:b w:val="false"/>
          <w:color w:val="000000"/>
          <w:sz w:val="20"/>
        </w:rPr>
      </w:pPr>
      <w:r>
        <w:rPr>
          <w:rFonts w:ascii="Trade Gothic;sans-serif" w:hAnsi="Trade Gothic;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503"/>
        <w:gridCol w:w="1274"/>
        <w:gridCol w:w="1279"/>
        <w:gridCol w:w="109"/>
        <w:gridCol w:w="109"/>
        <w:gridCol w:w="109"/>
        <w:gridCol w:w="645"/>
        <w:gridCol w:w="645"/>
        <w:gridCol w:w="647"/>
        <w:gridCol w:w="109"/>
        <w:gridCol w:w="109"/>
        <w:gridCol w:w="109"/>
        <w:gridCol w:w="1039"/>
        <w:gridCol w:w="1039"/>
        <w:gridCol w:w="1480"/>
      </w:tblGrid>
      <w:tr>
        <w:trPr/>
        <w:tc>
          <w:tcPr>
            <w:tcW w:w="1503"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 xml:space="preserve">Name of each exchange on which </w:t>
            </w:r>
          </w:p>
          <w:p>
            <w:pPr>
              <w:pStyle w:val="TableContents"/>
              <w:bidi w:val="0"/>
              <w:spacing w:lineRule="auto" w:line="288" w:before="0" w:after="0"/>
              <w:jc w:val="center"/>
              <w:rPr>
                <w:rFonts w:ascii="Trade Gothic;sans-serif" w:hAnsi="Trade Gothic;sans-serif"/>
                <w:b/>
                <w:color w:val="000000"/>
                <w:sz w:val="20"/>
              </w:rPr>
            </w:pPr>
            <w:r>
              <w:rPr>
                <w:rFonts w:ascii="Trade Gothic;sans-serif" w:hAnsi="Trade Gothic;sans-serif"/>
                <w:b/>
                <w:color w:val="000000"/>
                <w:sz w:val="20"/>
              </w:rPr>
              <w:t>registered</w:t>
            </w:r>
          </w:p>
        </w:tc>
      </w:tr>
      <w:tr>
        <w:trPr/>
        <w:tc>
          <w:tcPr>
            <w:tcW w:w="40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SGP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rade Gothic;sans-serif" w:hAnsi="Trade Gothic;sans-serif"/>
                <w:b w:val="false"/>
                <w:color w:val="000000"/>
                <w:sz w:val="20"/>
              </w:rPr>
            </w:pPr>
            <w:r>
              <w:rPr>
                <w:rFonts w:ascii="Trade Gothic;sans-serif" w:hAnsi="Trade Gothic;sans-serif"/>
                <w:b w:val="false"/>
                <w:color w:val="000000"/>
                <w:sz w:val="20"/>
              </w:rPr>
              <w:t>The Nasdaq Stock Market LLC</w:t>
            </w:r>
          </w:p>
        </w:tc>
      </w:tr>
    </w:tbl>
    <w:p>
      <w:pPr>
        <w:pStyle w:val="TextBody"/>
        <w:bidi w:val="0"/>
        <w:spacing w:lineRule="auto" w:line="288" w:before="0" w:after="240"/>
        <w:jc w:val="both"/>
        <w:rPr>
          <w:rFonts w:ascii="Trade Gothic;sans-serif" w:hAnsi="Trade Gothic;sans-serif"/>
          <w:b w:val="false"/>
          <w:color w:val="000000"/>
          <w:sz w:val="20"/>
        </w:rPr>
      </w:pPr>
      <w:r>
        <w:rPr>
          <w:rFonts w:ascii="Trade Gothic;sans-serif" w:hAnsi="Trade Gothic;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40"/>
        <w:jc w:val="both"/>
        <w:rPr/>
      </w:pPr>
      <w:r>
        <w:rPr>
          <w:rFonts w:ascii="Trade Gothic;sans-serif" w:hAnsi="Trade Gothic;sans-serif"/>
          <w:b w:val="false"/>
          <w:color w:val="000000"/>
          <w:sz w:val="20"/>
        </w:rPr>
        <w:t xml:space="preserve">Emerging growth company </w:t>
      </w:r>
      <w:r>
        <w:rPr>
          <w:color w:val="000000"/>
        </w:rPr>
        <w:t>☒</w:t>
      </w:r>
    </w:p>
    <w:p>
      <w:pPr>
        <w:pStyle w:val="TextBody"/>
        <w:bidi w:val="0"/>
        <w:spacing w:lineRule="auto" w:line="288" w:before="0" w:after="240"/>
        <w:jc w:val="both"/>
        <w:rPr/>
      </w:pPr>
      <w:r>
        <w:rPr>
          <w:rFonts w:ascii="Trade Gothic;sans-serif" w:hAnsi="Trade Gothic;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both"/>
        <w:rPr>
          <w:rFonts w:ascii="Trade Gothic;sans-serif" w:hAnsi="Trade Gothic;sans-serif"/>
          <w:b/>
          <w:color w:val="000000"/>
          <w:sz w:val="20"/>
        </w:rPr>
      </w:pPr>
      <w:r>
        <w:rPr>
          <w:rFonts w:ascii="Trade Gothic;sans-serif" w:hAnsi="Trade Gothic;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jc w:val="both"/>
        <w:rPr/>
      </w:pPr>
      <w:r>
        <w:rPr>
          <w:rFonts w:ascii="Trade Gothic;sans-serif" w:hAnsi="Trade Gothic;sans-serif"/>
          <w:b w:val="false"/>
          <w:color w:val="000000"/>
          <w:sz w:val="20"/>
        </w:rPr>
        <w:t>On January 16, 2026, SpyGlass Pharma, Inc. (the “</w:t>
      </w:r>
      <w:r>
        <w:rPr>
          <w:rFonts w:ascii="Trade Gothic;sans-serif" w:hAnsi="Trade Gothic;sans-serif"/>
          <w:b/>
          <w:i/>
          <w:color w:val="000000"/>
          <w:sz w:val="20"/>
        </w:rPr>
        <w:t>Company</w:t>
      </w:r>
      <w:r>
        <w:rPr>
          <w:color w:val="000000"/>
        </w:rPr>
        <w:t>”</w:t>
      </w:r>
      <w:r>
        <w:rPr>
          <w:rFonts w:ascii="Trade Gothic;sans-serif" w:hAnsi="Trade Gothic;sans-serif"/>
          <w:b w:val="false"/>
          <w:color w:val="000000"/>
          <w:sz w:val="20"/>
        </w:rPr>
        <w:t>) filed a Registration Statement on Form S-1 (File No. 333-292779) with the Securities and Exchange Commission (as amended, the “</w:t>
      </w:r>
      <w:r>
        <w:rPr>
          <w:rFonts w:ascii="Trade Gothic;sans-serif" w:hAnsi="Trade Gothic;sans-serif"/>
          <w:b/>
          <w:i/>
          <w:color w:val="000000"/>
          <w:sz w:val="20"/>
        </w:rPr>
        <w:t>Registration Statement</w:t>
      </w:r>
      <w:r>
        <w:rPr>
          <w:color w:val="000000"/>
        </w:rPr>
        <w:t>”</w:t>
      </w:r>
      <w:r>
        <w:rPr>
          <w:rFonts w:ascii="Trade Gothic;sans-serif" w:hAnsi="Trade Gothic;sans-serif"/>
          <w:b w:val="false"/>
          <w:color w:val="000000"/>
          <w:sz w:val="20"/>
        </w:rPr>
        <w:t>). Pursuant to Instruction 1 to Item 402(n)(2)(iii) and (iv) of Regulation S-K, the “Summary Compensation Table for Fiscal 2024 and 2025” included in the Registration Statement noted that the Compensation Committee of the Company’s Board of Directors (the “</w:t>
      </w:r>
      <w:r>
        <w:rPr>
          <w:rFonts w:ascii="Trade Gothic;sans-serif" w:hAnsi="Trade Gothic;sans-serif"/>
          <w:b/>
          <w:i/>
          <w:color w:val="000000"/>
          <w:sz w:val="20"/>
        </w:rPr>
        <w:t>Compensation Committee</w:t>
      </w:r>
      <w:r>
        <w:rPr>
          <w:color w:val="000000"/>
        </w:rPr>
        <w:t>”</w:t>
      </w:r>
      <w:r>
        <w:rPr>
          <w:rFonts w:ascii="Trade Gothic;sans-serif" w:hAnsi="Trade Gothic;sans-serif"/>
          <w:b w:val="false"/>
          <w:color w:val="000000"/>
          <w:sz w:val="20"/>
        </w:rPr>
        <w:t>) had not yet determined the amount of performance cash bonuses earned by the Company’s principal executive officer and up to two of the most highly compensated executive officers other than the principal executive officer (the “</w:t>
      </w:r>
      <w:r>
        <w:rPr>
          <w:rFonts w:ascii="Trade Gothic;sans-serif" w:hAnsi="Trade Gothic;sans-serif"/>
          <w:b/>
          <w:i/>
          <w:color w:val="000000"/>
          <w:sz w:val="20"/>
        </w:rPr>
        <w:t>Named Executive Officers</w:t>
      </w:r>
      <w:r>
        <w:rPr>
          <w:color w:val="000000"/>
        </w:rPr>
        <w:t>”</w:t>
      </w:r>
      <w:r>
        <w:rPr>
          <w:rFonts w:ascii="Trade Gothic;sans-serif" w:hAnsi="Trade Gothic;sans-serif"/>
          <w:b w:val="false"/>
          <w:color w:val="000000"/>
          <w:sz w:val="20"/>
        </w:rPr>
        <w:t>) for the fiscal year ended December 31, 2025 (“</w:t>
      </w:r>
      <w:r>
        <w:rPr>
          <w:rFonts w:ascii="Trade Gothic;sans-serif" w:hAnsi="Trade Gothic;sans-serif"/>
          <w:b/>
          <w:i/>
          <w:color w:val="000000"/>
          <w:sz w:val="20"/>
        </w:rPr>
        <w:t>Fiscal Year 2025</w:t>
      </w:r>
      <w:r>
        <w:rPr>
          <w:color w:val="000000"/>
        </w:rPr>
        <w:t>”</w:t>
      </w:r>
      <w:r>
        <w:rPr>
          <w:rFonts w:ascii="Trade Gothic;sans-serif" w:hAnsi="Trade Gothic;sans-serif"/>
          <w:b w:val="false"/>
          <w:color w:val="000000"/>
          <w:sz w:val="20"/>
        </w:rPr>
        <w:t>), and that the amounts of such performance cash bonuses would be disclosed once determined.</w:t>
      </w:r>
    </w:p>
    <w:p>
      <w:pPr>
        <w:pStyle w:val="TextBody"/>
        <w:bidi w:val="0"/>
        <w:spacing w:before="0" w:after="0"/>
        <w:jc w:val="both"/>
        <w:rPr/>
      </w:pPr>
      <w:r>
        <w:rPr/>
      </w:r>
    </w:p>
    <w:p>
      <w:pPr>
        <w:pStyle w:val="TextBody"/>
        <w:bidi w:val="0"/>
        <w:spacing w:lineRule="auto" w:line="288" w:before="0" w:after="0"/>
        <w:jc w:val="both"/>
        <w:rPr>
          <w:rFonts w:ascii="Trade Gothic;sans-serif" w:hAnsi="Trade Gothic;sans-serif"/>
          <w:b w:val="false"/>
          <w:color w:val="000000"/>
          <w:sz w:val="20"/>
        </w:rPr>
      </w:pPr>
      <w:r>
        <w:rPr>
          <w:rFonts w:ascii="Trade Gothic;sans-serif" w:hAnsi="Trade Gothic;sans-serif"/>
          <w:b w:val="false"/>
          <w:color w:val="000000"/>
          <w:sz w:val="20"/>
        </w:rPr>
        <w:t xml:space="preserve">On February 12, 2026, the Compensation Committee approved performance cash bonuses earned by the Named Executive Officers for Fiscal Year 2025, which will be paid shortly following such approval. In accordance with Item 5.02(f) of Form 8-K, set forth below is an updated “Summary Compensation Table for Fiscal 2024 and 2025”, which includes the amount of performance cash bonuses earned by the Named Executive Officers for Fiscal Year 2025 in the “Non-Equity Incentive Plan Compensation” column, as well as the total compensation figures for the Company’s Named Executive Officers for Fiscal Year 2025 incorporating such performance cash bonuses. </w:t>
      </w:r>
    </w:p>
    <w:p>
      <w:pPr>
        <w:pStyle w:val="TextBody"/>
        <w:bidi w:val="0"/>
        <w:spacing w:before="0" w:after="0"/>
        <w:jc w:val="both"/>
        <w:rPr/>
      </w:pPr>
      <w:r>
        <w:rPr/>
      </w:r>
    </w:p>
    <w:p>
      <w:pPr>
        <w:pStyle w:val="TextBody"/>
        <w:bidi w:val="0"/>
        <w:spacing w:lineRule="auto" w:line="288" w:before="0" w:after="0"/>
        <w:jc w:val="both"/>
        <w:rPr>
          <w:rFonts w:ascii="Trade Gothic;sans-serif" w:hAnsi="Trade Gothic;sans-serif"/>
          <w:b/>
          <w:color w:val="000000"/>
          <w:sz w:val="20"/>
        </w:rPr>
      </w:pPr>
      <w:r>
        <w:rPr>
          <w:rFonts w:ascii="Trade Gothic;sans-serif" w:hAnsi="Trade Gothic;sans-serif"/>
          <w:b/>
          <w:color w:val="000000"/>
          <w:sz w:val="20"/>
        </w:rPr>
        <w:t>Summary Compensation Table for Fiscal 2024 and 2025</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1670" w:type="dxa"/>
        <w:jc w:val="left"/>
        <w:tblInd w:w="0" w:type="dxa"/>
        <w:tblLayout w:type="fixed"/>
        <w:tblCellMar>
          <w:top w:w="28" w:type="dxa"/>
          <w:left w:w="28" w:type="dxa"/>
          <w:bottom w:w="28" w:type="dxa"/>
          <w:right w:w="28" w:type="dxa"/>
        </w:tblCellMar>
      </w:tblPr>
      <w:tblGrid>
        <w:gridCol w:w="742"/>
        <w:gridCol w:w="244"/>
        <w:gridCol w:w="245"/>
        <w:gridCol w:w="109"/>
        <w:gridCol w:w="109"/>
        <w:gridCol w:w="109"/>
        <w:gridCol w:w="154"/>
        <w:gridCol w:w="154"/>
        <w:gridCol w:w="158"/>
        <w:gridCol w:w="109"/>
        <w:gridCol w:w="109"/>
        <w:gridCol w:w="109"/>
        <w:gridCol w:w="368"/>
        <w:gridCol w:w="368"/>
        <w:gridCol w:w="191"/>
        <w:gridCol w:w="109"/>
        <w:gridCol w:w="109"/>
        <w:gridCol w:w="109"/>
        <w:gridCol w:w="203"/>
        <w:gridCol w:w="203"/>
        <w:gridCol w:w="186"/>
        <w:gridCol w:w="109"/>
        <w:gridCol w:w="109"/>
        <w:gridCol w:w="109"/>
        <w:gridCol w:w="215"/>
        <w:gridCol w:w="215"/>
        <w:gridCol w:w="216"/>
        <w:gridCol w:w="109"/>
        <w:gridCol w:w="109"/>
        <w:gridCol w:w="109"/>
        <w:gridCol w:w="435"/>
        <w:gridCol w:w="436"/>
        <w:gridCol w:w="216"/>
        <w:gridCol w:w="109"/>
        <w:gridCol w:w="109"/>
        <w:gridCol w:w="109"/>
        <w:gridCol w:w="518"/>
        <w:gridCol w:w="218"/>
        <w:gridCol w:w="192"/>
        <w:gridCol w:w="192"/>
        <w:gridCol w:w="192"/>
        <w:gridCol w:w="196"/>
        <w:gridCol w:w="109"/>
        <w:gridCol w:w="109"/>
        <w:gridCol w:w="109"/>
        <w:gridCol w:w="400"/>
        <w:gridCol w:w="336"/>
        <w:gridCol w:w="192"/>
        <w:gridCol w:w="192"/>
        <w:gridCol w:w="192"/>
        <w:gridCol w:w="196"/>
        <w:gridCol w:w="109"/>
        <w:gridCol w:w="109"/>
        <w:gridCol w:w="109"/>
        <w:gridCol w:w="435"/>
        <w:gridCol w:w="436"/>
        <w:gridCol w:w="218"/>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rade Gothic;sans-serif" w:hAnsi="Trade Gothic;sans-serif"/>
                <w:b/>
                <w:color w:val="000000"/>
                <w:sz w:val="14"/>
              </w:rPr>
            </w:pPr>
            <w:r>
              <w:rPr>
                <w:rFonts w:ascii="Trade Gothic;sans-serif" w:hAnsi="Trade Gothic;sans-serif"/>
                <w:b/>
                <w:color w:val="000000"/>
                <w:sz w:val="14"/>
              </w:rPr>
              <w:t>Name and Principal Position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Year</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Salary</w:t>
              <w:b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Bonus</w:t>
              <w:b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Stock Awards</w:t>
              <w:b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rade Gothic;sans-serif" w:hAnsi="Trade Gothic;sans-serif"/>
                <w:b/>
                <w:color w:val="000000"/>
                <w:sz w:val="14"/>
              </w:rPr>
            </w:pPr>
            <w:r>
              <w:rPr>
                <w:rFonts w:ascii="Trade Gothic;sans-serif" w:hAnsi="Trade Gothic;sans-serif"/>
                <w:b/>
                <w:color w:val="000000"/>
                <w:sz w:val="14"/>
              </w:rPr>
              <w:t>Option Awards</w:t>
            </w:r>
          </w:p>
          <w:p>
            <w:pPr>
              <w:pStyle w:val="TableContents"/>
              <w:bidi w:val="0"/>
              <w:spacing w:lineRule="auto" w:line="288" w:before="0" w:after="0"/>
              <w:jc w:val="center"/>
              <w:rPr/>
            </w:pPr>
            <w:r>
              <w:rPr>
                <w:rFonts w:ascii="Trade Gothic;sans-serif" w:hAnsi="Trade Gothic;sans-serif"/>
                <w:b/>
                <w:color w:val="000000"/>
                <w:sz w:val="14"/>
              </w:rPr>
              <w:t>($)</w:t>
            </w:r>
            <w:r>
              <w:rPr>
                <w:rFonts w:ascii="Trade Gothic;sans-serif" w:hAnsi="Trade Gothic;sans-serif"/>
                <w:b/>
                <w:color w:val="000000"/>
                <w:sz w:val="9"/>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Non-Equity Incentive Plan Compensation</w:t>
              <w:b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All Other Compensation</w:t>
              <w:b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rade Gothic;sans-serif" w:hAnsi="Trade Gothic;sans-serif"/>
                <w:b/>
                <w:color w:val="000000"/>
                <w:sz w:val="14"/>
              </w:rPr>
            </w:pPr>
            <w:r>
              <w:rPr>
                <w:rFonts w:ascii="Trade Gothic;sans-serif" w:hAnsi="Trade Gothic;sans-serif"/>
                <w:b/>
                <w:color w:val="000000"/>
                <w:sz w:val="14"/>
              </w:rPr>
              <w:t>Total</w:t>
              <w:br/>
              <w:t>($)</w:t>
            </w:r>
          </w:p>
        </w:tc>
      </w:tr>
      <w:tr>
        <w:trPr/>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4"/>
              </w:rPr>
            </w:pPr>
            <w:r>
              <w:rPr>
                <w:rFonts w:ascii="Trade Gothic;sans-serif" w:hAnsi="Trade Gothic;sans-serif"/>
                <w:b w:val="false"/>
                <w:color w:val="000000"/>
                <w:sz w:val="14"/>
              </w:rPr>
              <w:t>Patrick Mooney</w:t>
            </w:r>
          </w:p>
          <w:p>
            <w:pPr>
              <w:pStyle w:val="TableContents"/>
              <w:bidi w:val="0"/>
              <w:spacing w:lineRule="auto" w:line="288" w:before="0" w:after="0"/>
              <w:jc w:val="left"/>
              <w:rPr/>
            </w:pPr>
            <w:r>
              <w:rPr>
                <w:rFonts w:ascii="Trade Gothic;sans-serif" w:hAnsi="Trade Gothic;sans-serif"/>
                <w:b w:val="false"/>
                <w:i/>
                <w:color w:val="000000"/>
                <w:sz w:val="14"/>
              </w:rPr>
              <w:t>Chief Executive Office</w:t>
            </w:r>
            <w:r>
              <w:rPr>
                <w:rFonts w:ascii="Trade Gothic;sans-serif" w:hAnsi="Trade Gothic;sans-serif"/>
                <w:b w:val="false"/>
                <w:color w:val="000000"/>
                <w:sz w:val="14"/>
              </w:rPr>
              <w:t>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444,544 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2,662,934 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215,088 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145 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left"/>
              <w:rPr>
                <w:rFonts w:ascii="Trade Gothic;sans-serif" w:hAnsi="Trade Gothic;sans-serif"/>
                <w:b w:val="false"/>
                <w:color w:val="000000"/>
                <w:sz w:val="9"/>
              </w:rPr>
            </w:pPr>
            <w:r>
              <w:rPr>
                <w:rFonts w:ascii="Trade Gothic;sans-serif" w:hAnsi="Trade Gothic;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3,322,711 </w:t>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417,488 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463,779 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153,635 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145 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rade Gothic;sans-serif" w:hAnsi="Trade Gothic;sans-serif"/>
                <w:b w:val="false"/>
                <w:color w:val="000000"/>
                <w:sz w:val="9"/>
              </w:rPr>
            </w:pPr>
            <w:r>
              <w:rPr>
                <w:rFonts w:ascii="Trade Gothic;sans-serif" w:hAnsi="Trade Gothic;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1,035,047 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4"/>
              </w:rPr>
            </w:pPr>
            <w:r>
              <w:rPr>
                <w:rFonts w:ascii="Trade Gothic;sans-serif" w:hAnsi="Trade Gothic;sans-serif"/>
                <w:b w:val="false"/>
                <w:color w:val="000000"/>
                <w:sz w:val="14"/>
              </w:rPr>
              <w:t>Malik Y. Kahook, M.D.</w:t>
            </w:r>
          </w:p>
          <w:p>
            <w:pPr>
              <w:pStyle w:val="TableContents"/>
              <w:bidi w:val="0"/>
              <w:spacing w:lineRule="auto" w:line="288" w:before="0" w:after="0"/>
              <w:jc w:val="left"/>
              <w:rPr/>
            </w:pPr>
            <w:r>
              <w:rPr>
                <w:rFonts w:ascii="Trade Gothic;sans-serif" w:hAnsi="Trade Gothic;sans-serif"/>
                <w:b w:val="false"/>
                <w:i/>
                <w:color w:val="000000"/>
                <w:sz w:val="14"/>
              </w:rPr>
              <w:t>President, Chief Medical Officer and Executive Chair</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2,060,244 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125,975 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298,250 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rade Gothic;sans-serif" w:hAnsi="Trade Gothic;sans-serif"/>
                <w:b w:val="false"/>
                <w:color w:val="000000"/>
                <w:sz w:val="9"/>
              </w:rPr>
            </w:pPr>
            <w:r>
              <w:rPr>
                <w:rFonts w:ascii="Trade Gothic;sans-serif" w:hAnsi="Trade Gothic;sans-serif"/>
                <w:b w:val="false"/>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2,484,469 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91,287 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288,167 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40"/>
              <w:jc w:val="left"/>
              <w:rPr>
                <w:rFonts w:ascii="Trade Gothic;sans-serif" w:hAnsi="Trade Gothic;sans-serif"/>
                <w:b w:val="false"/>
                <w:color w:val="000000"/>
                <w:sz w:val="9"/>
              </w:rPr>
            </w:pPr>
            <w:r>
              <w:rPr>
                <w:rFonts w:ascii="Trade Gothic;sans-serif" w:hAnsi="Trade Gothic;sans-serif"/>
                <w:b w:val="false"/>
                <w:color w:val="000000"/>
                <w:sz w:val="9"/>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379,454 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14"/>
              </w:rPr>
            </w:pPr>
            <w:r>
              <w:rPr>
                <w:rFonts w:ascii="Trade Gothic;sans-serif" w:hAnsi="Trade Gothic;sans-serif"/>
                <w:b w:val="false"/>
                <w:color w:val="000000"/>
                <w:sz w:val="14"/>
              </w:rPr>
              <w:t>Chetan Pujara, Ph.D.</w:t>
            </w:r>
          </w:p>
          <w:p>
            <w:pPr>
              <w:pStyle w:val="TableContents"/>
              <w:bidi w:val="0"/>
              <w:spacing w:lineRule="auto" w:line="288" w:before="0" w:after="0"/>
              <w:jc w:val="left"/>
              <w:rPr/>
            </w:pPr>
            <w:r>
              <w:rPr>
                <w:rFonts w:ascii="Trade Gothic;sans-serif" w:hAnsi="Trade Gothic;sans-serif"/>
                <w:b w:val="false"/>
                <w:i/>
                <w:color w:val="000000"/>
                <w:sz w:val="14"/>
              </w:rPr>
              <w:t>Chief Research &amp; Development Officer</w:t>
            </w:r>
            <w:r>
              <w:rPr>
                <w:rFonts w:ascii="Trade Gothic;sans-serif" w:hAnsi="Trade Gothic;sans-serif"/>
                <w:b w:val="false"/>
                <w:color w:val="000000"/>
                <w:sz w:val="9"/>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355,250 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1,049,292 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126,289 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9,121 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left"/>
              <w:rPr>
                <w:rFonts w:ascii="Trade Gothic;sans-serif" w:hAnsi="Trade Gothic;sans-serif"/>
                <w:b w:val="false"/>
                <w:color w:val="000000"/>
                <w:sz w:val="9"/>
              </w:rPr>
            </w:pPr>
            <w:r>
              <w:rPr>
                <w:rFonts w:ascii="Trade Gothic;sans-serif" w:hAnsi="Trade Gothic;sans-serif"/>
                <w:b w:val="false"/>
                <w:color w:val="000000"/>
                <w:sz w:val="9"/>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rade Gothic;sans-serif" w:hAnsi="Trade Gothic;sans-serif"/>
                <w:b w:val="false"/>
                <w:color w:val="000000"/>
                <w:sz w:val="14"/>
              </w:rPr>
            </w:pPr>
            <w:r>
              <w:rPr>
                <w:rFonts w:ascii="Trade Gothic;sans-serif" w:hAnsi="Trade Gothic;sans-serif"/>
                <w:b w:val="false"/>
                <w:color w:val="000000"/>
                <w:sz w:val="14"/>
              </w:rPr>
              <w:t>1,539,952 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rade Gothic;sans-serif" w:hAnsi="Trade Gothic;sans-serif"/>
          <w:b w:val="false"/>
          <w:color w:val="000000"/>
          <w:sz w:val="14"/>
        </w:rPr>
        <w:t>(1)</w:t>
      </w:r>
      <w:r>
        <w:rPr>
          <w:rFonts w:ascii="Trade Gothic;sans-serif" w:hAnsi="Trade Gothic;sans-serif"/>
          <w:b w:val="false"/>
          <w:color w:val="000000"/>
          <w:sz w:val="17"/>
        </w:rPr>
        <w:t>The amount in the “Option Awards” column reflects the aggregate grant-date fair value of the options granted during the applicable fiscal year and calculated in accordance with FASB, ASC Topic 718, rather than the amounts paid or realized by the named executive officer. The assumptions used to calculate the value of our option awards are the same as those provided in Note 6 to our audited financial statements included elsewhere in this prospectus with respect to the value of the options.</w:t>
      </w:r>
    </w:p>
    <w:p>
      <w:pPr>
        <w:pStyle w:val="TextBody"/>
        <w:bidi w:val="0"/>
        <w:spacing w:lineRule="auto" w:line="288" w:before="0" w:after="0"/>
        <w:ind w:left="0" w:right="0" w:hanging="360"/>
        <w:jc w:val="both"/>
        <w:rPr/>
      </w:pPr>
      <w:r>
        <w:rPr>
          <w:rFonts w:ascii="Trade Gothic;sans-serif" w:hAnsi="Trade Gothic;sans-serif"/>
          <w:b w:val="false"/>
          <w:color w:val="000000"/>
          <w:sz w:val="14"/>
        </w:rPr>
        <w:t>(2)</w:t>
      </w:r>
      <w:r>
        <w:rPr>
          <w:rFonts w:ascii="Trade Gothic;sans-serif" w:hAnsi="Trade Gothic;sans-serif"/>
          <w:b w:val="false"/>
          <w:color w:val="000000"/>
          <w:sz w:val="17"/>
        </w:rPr>
        <w:t>The amount reported represents Company-paid life insurance premiums for Mr. Mooney and Dr. Pujara, as well as fees that the Company paid to Oasis Consulting, a company solely owned by Dr. Pujara, from January 1, 2025, until February 25, 2025, for Dr. Pujara’s services to the Company pursuant to the Pujara Consulting Agreement (as defined below) as further described in the “Agreements with our Named Executive Officers” section below.</w:t>
      </w:r>
    </w:p>
    <w:p>
      <w:pPr>
        <w:pStyle w:val="TextBody"/>
        <w:bidi w:val="0"/>
        <w:spacing w:lineRule="auto" w:line="288" w:before="0" w:after="0"/>
        <w:ind w:left="0" w:right="0" w:hanging="360"/>
        <w:jc w:val="both"/>
        <w:rPr/>
      </w:pPr>
      <w:r>
        <w:rPr>
          <w:rFonts w:ascii="Trade Gothic;sans-serif" w:hAnsi="Trade Gothic;sans-serif"/>
          <w:b w:val="false"/>
          <w:color w:val="000000"/>
          <w:sz w:val="14"/>
        </w:rPr>
        <w:t>(3)</w:t>
      </w:r>
      <w:r>
        <w:rPr>
          <w:rFonts w:ascii="Trade Gothic;sans-serif" w:hAnsi="Trade Gothic;sans-serif"/>
          <w:b w:val="false"/>
          <w:color w:val="000000"/>
          <w:sz w:val="17"/>
        </w:rPr>
        <w:t xml:space="preserve">The amount reported represents fees that the Company pays to University Physicians, Inc., d/b/a University of Colorado Medicine (CU Medicine), a non-profit corporation serving as the fiscal and business agent for the University of Colorado School of Medicine, for Dr. Kahook’s services to the Company pursuant to the Professional Services Agreement between the Company and CU Medicine as further described in the “Agreements with our Named Executive Officers” section below. </w:t>
      </w:r>
    </w:p>
    <w:p>
      <w:pPr>
        <w:pStyle w:val="TextBody"/>
        <w:bidi w:val="0"/>
        <w:spacing w:lineRule="auto" w:line="288" w:before="0" w:after="0"/>
        <w:ind w:left="0" w:right="0" w:hanging="360"/>
        <w:jc w:val="both"/>
        <w:rPr/>
      </w:pPr>
      <w:r>
        <w:rPr>
          <w:rFonts w:ascii="Trade Gothic;sans-serif" w:hAnsi="Trade Gothic;sans-serif"/>
          <w:b w:val="false"/>
          <w:color w:val="000000"/>
          <w:sz w:val="14"/>
        </w:rPr>
        <w:t>(4)</w:t>
      </w:r>
      <w:r>
        <w:rPr>
          <w:rFonts w:ascii="Trade Gothic;sans-serif" w:hAnsi="Trade Gothic;sans-serif"/>
          <w:b w:val="false"/>
          <w:color w:val="000000"/>
          <w:sz w:val="17"/>
        </w:rPr>
        <w:t>Dr. Pujara commenced employment with the Company in February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240"/>
        <w:jc w:val="center"/>
        <w:rPr>
          <w:rFonts w:ascii="Trade Gothic;sans-serif" w:hAnsi="Trade Gothic;sans-serif"/>
          <w:b/>
          <w:color w:val="000000"/>
          <w:sz w:val="20"/>
        </w:rPr>
      </w:pPr>
      <w:r>
        <w:rPr>
          <w:rFonts w:ascii="Trade Gothic;sans-serif" w:hAnsi="Trade Gothic;sans-serif"/>
          <w:b/>
          <w:color w:val="000000"/>
          <w:sz w:val="20"/>
        </w:rPr>
        <w:t>SIGNATURES</w:t>
      </w:r>
    </w:p>
    <w:p>
      <w:pPr>
        <w:pStyle w:val="TextBody"/>
        <w:bidi w:val="0"/>
        <w:spacing w:lineRule="auto" w:line="268" w:before="0" w:after="0"/>
        <w:jc w:val="both"/>
        <w:rPr>
          <w:rFonts w:ascii="Trade Gothic;sans-serif" w:hAnsi="Trade Gothic;sans-serif"/>
          <w:b w:val="false"/>
          <w:color w:val="000000"/>
          <w:sz w:val="20"/>
        </w:rPr>
      </w:pPr>
      <w:r>
        <w:rPr>
          <w:rFonts w:ascii="Trade Gothic;sans-serif" w:hAnsi="Trade Gothic;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205" w:type="dxa"/>
        <w:jc w:val="left"/>
        <w:tblInd w:w="0" w:type="dxa"/>
        <w:tblLayout w:type="fixed"/>
        <w:tblCellMar>
          <w:top w:w="28" w:type="dxa"/>
          <w:left w:w="28" w:type="dxa"/>
          <w:bottom w:w="28" w:type="dxa"/>
          <w:right w:w="28" w:type="dxa"/>
        </w:tblCellMar>
      </w:tblPr>
      <w:tblGrid>
        <w:gridCol w:w="891"/>
        <w:gridCol w:w="780"/>
        <w:gridCol w:w="788"/>
        <w:gridCol w:w="454"/>
        <w:gridCol w:w="454"/>
        <w:gridCol w:w="454"/>
        <w:gridCol w:w="692"/>
        <w:gridCol w:w="692"/>
        <w:gridCol w:w="1000"/>
      </w:tblGrid>
      <w:tr>
        <w:trPr/>
        <w:tc>
          <w:tcPr>
            <w:tcW w:w="89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color w:val="000000"/>
                <w:sz w:val="20"/>
              </w:rPr>
            </w:pPr>
            <w:r>
              <w:rPr>
                <w:rFonts w:ascii="Trade Gothic;sans-serif" w:hAnsi="Trade Gothic;sans-serif"/>
                <w:b/>
                <w:color w:val="000000"/>
                <w:sz w:val="20"/>
              </w:rPr>
              <w:t>SPYGLASS PHARMA, INC.</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20"/>
              </w:rPr>
            </w:pPr>
            <w:r>
              <w:rPr>
                <w:rFonts w:ascii="Trade Gothic;sans-serif" w:hAnsi="Trade Gothic;sans-serif"/>
                <w:b w:val="false"/>
                <w:color w:val="000000"/>
                <w:sz w:val="20"/>
              </w:rPr>
              <w:t xml:space="preserve">By: </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rade Gothic;sans-serif" w:hAnsi="Trade Gothic;sans-serif"/>
                <w:b w:val="false"/>
                <w:color w:val="000000"/>
                <w:sz w:val="20"/>
              </w:rPr>
            </w:pPr>
            <w:r>
              <w:rPr>
                <w:rFonts w:ascii="Trade Gothic;sans-serif" w:hAnsi="Trade Gothic;sans-serif"/>
                <w:b w:val="false"/>
                <w:color w:val="000000"/>
                <w:sz w:val="20"/>
              </w:rPr>
              <w:t>/s/ Patrick Mooney</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45" w:after="20"/>
              <w:jc w:val="left"/>
              <w:rPr>
                <w:rFonts w:ascii="Trade Gothic;sans-serif" w:hAnsi="Trade Gothic;sans-serif"/>
                <w:b w:val="false"/>
                <w:color w:val="000000"/>
                <w:sz w:val="20"/>
              </w:rPr>
            </w:pPr>
            <w:r>
              <w:rPr>
                <w:rFonts w:ascii="Trade Gothic;sans-serif" w:hAnsi="Trade Gothic;sans-serif"/>
                <w:b w:val="false"/>
                <w:color w:val="000000"/>
                <w:sz w:val="20"/>
              </w:rPr>
              <w:t>Patrick Mooney</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20"/>
              </w:rPr>
            </w:pPr>
            <w:r>
              <w:rPr>
                <w:rFonts w:ascii="Trade Gothic;sans-serif" w:hAnsi="Trade Gothic;sans-serif"/>
                <w:b w:val="false"/>
                <w:color w:val="000000"/>
                <w:sz w:val="20"/>
              </w:rPr>
              <w:t>Date: February 13, 2026</w:t>
            </w:r>
          </w:p>
        </w:tc>
        <w:tc>
          <w:tcPr>
            <w:tcW w:w="13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88" w:before="65" w:after="20"/>
              <w:jc w:val="left"/>
              <w:rPr>
                <w:rFonts w:ascii="Trade Gothic;sans-serif" w:hAnsi="Trade Gothic;sans-serif"/>
                <w:b w:val="false"/>
                <w:color w:val="000000"/>
                <w:sz w:val="20"/>
              </w:rPr>
            </w:pPr>
            <w:r>
              <w:rPr>
                <w:rFonts w:ascii="Trade Gothic;sans-serif" w:hAnsi="Trade Gothic;sans-serif"/>
                <w:b w:val="false"/>
                <w:color w:val="000000"/>
                <w:sz w:val="20"/>
              </w:rPr>
              <w:t>Chief Executive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rade Gothic">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932</Words>
  <Characters>5246</Characters>
  <CharactersWithSpaces>6109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