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SpyGlass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85220G109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Gilde Healthcare Holding B.V.</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Stadsplateau 36, Attention: Edwin de Graaf</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Utrecht, P7, 3521 AZ</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31 30 219 2565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Gilde Healthcare Holding B.V.</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2,187,513.00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2,187,513.00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2,187,513.00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Gilde Healthcare VG VI Management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NETHERLANDS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2,187,513.00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2,187,513.00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2,187,513.00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6.57 %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Cooperatieve Gilde Healthcare VG VI U.A.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2,187,513.00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2,187,513.00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2,187,513.00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6.57 %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Manapouri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2,187,513.00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2,187,513.00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2,187,513.00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4" w:name="page5"/>
    <w:bookmarkEnd w:id="4"/>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Martemanshurk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49" w:orient="portrait"/>
          <w:cols w:equalWidth="0" w:num="1">
            <w:col w:w="11160"/>
          </w:cols>
          <w:pgMar w:left="360" w:top="189" w:right="37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2,187,513.00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2,187,513.00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2,187,513.00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49" w:orient="portrait"/>
          <w:cols w:equalWidth="0" w:num="2">
            <w:col w:w="1060" w:space="60"/>
            <w:col w:w="10040"/>
          </w:cols>
          <w:pgMar w:left="360" w:top="189" w:right="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SpyGlass Pharma,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27061 Aliso Creek Rd, Suite 100, Aliso Viejo, CALIFORNIA , 92656.</w:t>
      </w:r>
    </w:p>
    <w:p>
      <w:pPr>
        <w:spacing w:after="0" w:line="20"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joint statement on Schedule 13D (this "Statement") is filed with respect to the common stock, par value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$0.00001 per share ("Common Stock"), of SpyGlass Pharma, Inc., a Delaware corporation (the "Issuer"). Information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given in response to each item shall be deemed incorporated by reference in all other items, as applicable.</w:t>
      </w:r>
    </w:p>
    <w:p>
      <w:pPr>
        <w:sectPr>
          <w:pgSz w:w="11900" w:h="16949" w:orient="portrait"/>
          <w:cols w:equalWidth="0" w:num="1">
            <w:col w:w="11160"/>
          </w:cols>
          <w:pgMar w:left="360" w:top="189" w:right="379" w:bottom="0" w:gutter="0" w:footer="0" w:header="0"/>
          <w:type w:val="continuous"/>
        </w:sectPr>
      </w:pPr>
    </w:p>
    <w:bookmarkStart w:id="5" w:name="page6"/>
    <w:bookmarkEnd w:id="5"/>
    <w:p>
      <w:pPr>
        <w:spacing w:after="0" w:line="3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jc w:val="both"/>
        <w:ind w:left="920"/>
        <w:spacing w:after="0" w:line="247" w:lineRule="auto"/>
        <w:rPr>
          <w:sz w:val="20"/>
          <w:szCs w:val="20"/>
          <w:color w:val="auto"/>
        </w:rPr>
      </w:pPr>
      <w:r>
        <w:rPr>
          <w:rFonts w:ascii="Times New Roman" w:cs="Times New Roman" w:eastAsia="Times New Roman" w:hAnsi="Times New Roman"/>
          <w:sz w:val="21"/>
          <w:szCs w:val="21"/>
          <w:color w:val="auto"/>
        </w:rPr>
        <w:t>This Statement is being filed by Gilde Healthcare Holding B.V. ("GHH"), Gilde Healthcare VG VI Management B.V. ("Gilde Healthcare Management"), and Cooperatieve Gilde Healthcare VG VI U.A. ("Gilde Healthcare," and together with GHH and Gilde Healthcare Management, the "Reporting Entities"), the managing directors of GHH: Manapouri B.V. (of which Edwin de Graaf is the owner and managing director) and Martemanshurk B.V. (of which Pieter van</w:t>
      </w:r>
    </w:p>
    <w:p>
      <w:pPr>
        <w:spacing w:after="0" w:line="2" w:lineRule="exact"/>
        <w:rPr>
          <w:sz w:val="20"/>
          <w:szCs w:val="20"/>
          <w:color w:val="auto"/>
        </w:rPr>
      </w:pPr>
    </w:p>
    <w:p>
      <w:pPr>
        <w:ind w:left="920" w:right="8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der Meer is the owner and managing director) (together, the "Managing Directors"). The Reporting Entities and Managing Directors are collectively referred to as the "Reporting Persons." The agreement among the Reporting Persons to file jointly in accordance with the provisions of Rule 13d-1(k)(1) under the Act is attached hereto as Exhibit 1. Each Reporting Person disclaims beneficial ownership of all securities reported in this Statement except to the extent of such Reporting Person's pecuniary interest therein, other than those securities reported herein as being held directly by such Reporting Person.</w:t>
      </w:r>
    </w:p>
    <w:p>
      <w:pPr>
        <w:spacing w:after="0" w:line="14" w:lineRule="exact"/>
        <w:rPr>
          <w:rFonts w:ascii="Times New Roman" w:cs="Times New Roman" w:eastAsia="Times New Roman" w:hAnsi="Times New Roman"/>
          <w:sz w:val="43"/>
          <w:szCs w:val="43"/>
          <w:color w:val="auto"/>
          <w:vertAlign w:val="subscript"/>
        </w:rPr>
      </w:pPr>
    </w:p>
    <w:p>
      <w:pPr>
        <w:ind w:left="920" w:right="2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business address of the principal offices of each Reporting Person is Stadsplateau 36 P7, 3521 AZ Utrecht, The Netherlands.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Gilde Healthcare Management manages and advises Gilde Healthcare and is owned by GHH. Gilde Healthcare</w:t>
      </w:r>
    </w:p>
    <w:p>
      <w:pPr>
        <w:spacing w:after="0" w:line="14" w:lineRule="exact"/>
        <w:rPr>
          <w:rFonts w:ascii="Times New Roman" w:cs="Times New Roman" w:eastAsia="Times New Roman" w:hAnsi="Times New Roman"/>
          <w:sz w:val="39"/>
          <w:szCs w:val="39"/>
          <w:color w:val="auto"/>
          <w:vertAlign w:val="subscript"/>
        </w:rPr>
      </w:pPr>
    </w:p>
    <w:p>
      <w:pPr>
        <w:ind w:left="920" w:right="64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venture capital investments in companies developing biotechnology, molecular diagnostics and medical technology products.</w:t>
      </w:r>
    </w:p>
    <w:p>
      <w:pPr>
        <w:spacing w:after="0" w:line="16" w:lineRule="exact"/>
        <w:rPr>
          <w:rFonts w:ascii="Times New Roman" w:cs="Times New Roman" w:eastAsia="Times New Roman" w:hAnsi="Times New Roman"/>
          <w:sz w:val="22"/>
          <w:szCs w:val="22"/>
          <w:color w:val="auto"/>
        </w:rPr>
      </w:pPr>
    </w:p>
    <w:p>
      <w:pPr>
        <w:ind w:left="920" w:right="2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past five years, none of the Reporting Persons have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None of the Reporting Persons are, nor during the last five years have been, a party to a civil proceeding of a judicial</w:t>
      </w:r>
    </w:p>
    <w:p>
      <w:pPr>
        <w:spacing w:after="0" w:line="25" w:lineRule="exact"/>
        <w:rPr>
          <w:rFonts w:ascii="Times New Roman" w:cs="Times New Roman" w:eastAsia="Times New Roman" w:hAnsi="Times New Roman"/>
          <w:sz w:val="39"/>
          <w:szCs w:val="39"/>
          <w:color w:val="auto"/>
          <w:vertAlign w:val="subscript"/>
        </w:rPr>
      </w:pPr>
    </w:p>
    <w:p>
      <w:pPr>
        <w:jc w:val="both"/>
        <w:ind w:left="920" w:right="24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right="5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Gilde Healthcare Management, GHH, Manapouri B.V. and Martemanshurk B.V. are limited liability companies organized under Dutch law. Gilde Healthcare is a private equity investment fund organized under Dutch law.</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0"/>
        <w:spacing w:after="0" w:line="245" w:lineRule="auto"/>
        <w:rPr>
          <w:sz w:val="20"/>
          <w:szCs w:val="20"/>
          <w:color w:val="auto"/>
        </w:rPr>
      </w:pPr>
      <w:r>
        <w:rPr>
          <w:rFonts w:ascii="Times New Roman" w:cs="Times New Roman" w:eastAsia="Times New Roman" w:hAnsi="Times New Roman"/>
          <w:sz w:val="21"/>
          <w:szCs w:val="21"/>
          <w:color w:val="auto"/>
        </w:rPr>
        <w:t>In May 2025, Gilde Healthcare purchased 10,749,266 shares of the Issuer's Series D convertible preferred stock at price per share of $2.32574 and an aggregate purchase price of $24,999,998. On January 28, 2026, the Issuer effected a reverse stock split of its Common Stock on a one-for-5.7329 basis without payment or additional consideration. On February 9, 2026, upon the closing of the Issuer's initial public offering of its Common Stock (the "Offering"), the Issuer's Series D convertible preferred stock automatically converted into shares of the Issuer's Common Stock on a one-for-one basis and without payment or additional consideration (the "Conversion"). In addition, on February 9, 2026, in connection with the Offering, Gilde Healthcare purchased an additional 312,500 shares of Common Stock at a purchase price per share of $16.00 and an aggregate purchase price of $5,000,000 (the "Purchase"). Following the Conversion and the Purchase, Gilde Healthcare directly held an aggregate of 2,187,513 shares of Common Stock. All shares of the capital stock of the Issuer purchased by Gilde Healthcare have been purchased using investment funds provided to Gilde Healthcare. Unless noted above, no part of the purchase price was borrowed by any Reporting Person for the purpose of acquiring any securities discussed in this Item 3.</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32" w:lineRule="auto"/>
        <w:rPr>
          <w:sz w:val="20"/>
          <w:szCs w:val="20"/>
          <w:color w:val="auto"/>
        </w:rPr>
      </w:pPr>
      <w:r>
        <w:rPr>
          <w:rFonts w:ascii="Times New Roman" w:cs="Times New Roman" w:eastAsia="Times New Roman" w:hAnsi="Times New Roman"/>
          <w:sz w:val="22"/>
          <w:szCs w:val="22"/>
          <w:color w:val="auto"/>
        </w:rPr>
        <w:t>The information set forth in Item 3 of this Statement is incorporated herein by reference. The Reporting Persons hold the securities of the Issuer for general investment purposes. The Reporting Persons may, from time to time, depending on prevailing market, economic and other conditions, acquire additional shares of Common Stock or other securities of the Issuer, dispose of any such securities, or engage in discussions with the Issuer concerning such acquisitions or dispositions or further investments in the Issuer. The Reporting Persons intend to review their investment in the Issuer on a continuing basis and, depending upon the price and availability of shares of Common Stock or other securities of the Issuer, subsequent developments affecting the Issuer, the Issuer's business and prospects, other investment and business opportunities available to the Reporting Persons, general stock market and economic conditions, tax considerations and other factors considered relevant, may decide at any time to increase or to decrease the size of their investment in the Issuer in the open market, in privately negotiated transactions, pursuant to 10b5-1 trading plans or otherwise. Geoff Pardo, a partner at Gilde Healthcare, serves as a member of the board of directors of the Issuer. In addition, in his capacity as a director, Mr. Pardo may be entitled to receive cash compensation and equity compensation, including stock options, restricted stock units or other equity awards, pursuant to a plan or policy with regard to compensation of members of the board of directors of the Issuer. Except as set forth above, the Reporting Persons have no present plans or intentions which would result in or relate to any of the transactions described in subparagraphs (a) through (j) of Item 4 of Schedule 13D.</w:t>
      </w:r>
    </w:p>
    <w:p>
      <w:pPr>
        <w:spacing w:after="0" w:line="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80"/>
        <w:spacing w:after="0" w:line="247" w:lineRule="auto"/>
        <w:rPr>
          <w:sz w:val="20"/>
          <w:szCs w:val="20"/>
          <w:color w:val="auto"/>
        </w:rPr>
      </w:pPr>
      <w:r>
        <w:rPr>
          <w:rFonts w:ascii="Times New Roman" w:cs="Times New Roman" w:eastAsia="Times New Roman" w:hAnsi="Times New Roman"/>
          <w:sz w:val="21"/>
          <w:szCs w:val="21"/>
          <w:color w:val="auto"/>
        </w:rPr>
        <w:t>According to the Issuer's Rule 424(b)(4) Prospectus, dated February 5, 2026 and filed with the Securities and Exchange Commission ("SEC") on February 6, 2026, there were 33,317,414 shares of Common Stock outstanding after the closing of the Offering. Gilde Healthcare is the record holder of an aggregate of 2,187,513 shares of Common Stock, which represents beneficial ownership of approximately 6.57% of the outstanding shares of</w:t>
      </w:r>
    </w:p>
    <w:p>
      <w:pPr>
        <w:spacing w:after="0" w:line="2" w:lineRule="exact"/>
        <w:rPr>
          <w:sz w:val="20"/>
          <w:szCs w:val="20"/>
          <w:color w:val="auto"/>
        </w:rPr>
      </w:pPr>
    </w:p>
    <w:p>
      <w:pPr>
        <w:ind w:left="920" w:right="80" w:hanging="912"/>
        <w:spacing w:after="0" w:line="201"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Common Stock after the closing of the Offering. Gilde Healthcare Management, as the manager of Gilde Healthcare, has the power to vote and dispose of securities held by Gilde Healthcare and may be deemed to beneficially own the securities held of record by Gilde Healthcare. Gilde Healthcare Management is owned by GHH. The managing partners of GHH are Manapouri B.V. and Martemanshurk B.V. As a result, each of the Reporting Persons may beneficially own an aggregate of 2,187,513 shares of Common Stock, or approximately 6.57% of the outstanding Common Stock.</w:t>
      </w:r>
    </w:p>
    <w:p>
      <w:pPr>
        <w:sectPr>
          <w:pgSz w:w="11900" w:h="16876" w:orient="portrait"/>
          <w:cols w:equalWidth="0" w:num="1">
            <w:col w:w="11120"/>
          </w:cols>
          <w:pgMar w:left="360" w:top="166" w:right="419" w:bottom="0" w:gutter="0" w:footer="0" w:header="0"/>
        </w:sectPr>
      </w:pPr>
    </w:p>
    <w:bookmarkStart w:id="6" w:name="page7"/>
    <w:bookmarkEnd w:id="6"/>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Reporting Person has shared power to vote and dispose of 2,187,513 shares of Common Stock.</w:t>
      </w:r>
    </w:p>
    <w:p>
      <w:pPr>
        <w:spacing w:after="0" w:line="44"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reported in this Statement, none of the Reporting Persons has effected any transactions in the Issuer's securities within the past 60 days.</w:t>
      </w:r>
    </w:p>
    <w:p>
      <w:pPr>
        <w:spacing w:after="0" w:line="17" w:lineRule="exact"/>
        <w:rPr>
          <w:rFonts w:ascii="Times New Roman" w:cs="Times New Roman" w:eastAsia="Times New Roman" w:hAnsi="Times New Roman"/>
          <w:sz w:val="39"/>
          <w:szCs w:val="39"/>
          <w:color w:val="auto"/>
          <w:vertAlign w:val="subscript"/>
        </w:rPr>
      </w:pPr>
    </w:p>
    <w:p>
      <w:pPr>
        <w:ind w:left="920" w:right="2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Only Gilde Healthcare has the right to receive dividends from, or the proceeds from, the sale of shares of the Issuer owned by Gilde Healthcare.</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43" w:lineRule="auto"/>
        <w:rPr>
          <w:sz w:val="20"/>
          <w:szCs w:val="20"/>
          <w:color w:val="auto"/>
        </w:rPr>
      </w:pPr>
      <w:r>
        <w:rPr>
          <w:rFonts w:ascii="Times New Roman" w:cs="Times New Roman" w:eastAsia="Times New Roman" w:hAnsi="Times New Roman"/>
          <w:sz w:val="21"/>
          <w:szCs w:val="21"/>
          <w:color w:val="auto"/>
        </w:rPr>
        <w:t>The information set forth in Items 3 and 4 of this Statement is incorporated herein by reference. In connection with its purchase of shares of the Issuer's preferred stock, Gilde Healthcare and certain of the Issuer's other investors are party to an Amended and Restated Investors' Rights Agreement, dated May 30, 2025, with the Issuer (the "Investors' Rights Agreement"). After the closing of the Offering, the stockholders party thereto are entitled to certain registration rights, including the right to demand that that the Issuer file a registration statement or request that their shares be covered by a registration statement that the Issuer is otherwise filing. The terms and provisions of the Investors' Rights Agreement are described more fully in the Issuer's Registration Statement on Form S-1 (File No. 333-292779) declared effective by the Commission on January 16, 2026 (the "Registration Statement"), and the above summary is qualified by reference to such description and the full text of the Investors' Rights Agreement, which is filed as Exhibit 2 to this Statement and is incorporated herein by reference. In connection with the Offering, Gilde Healthcare entered into a lock-up agreement, pursuant to which Gilde Healthcare agreed, subject to certain exceptions, not to sell, transfer or otherwise convey any of the Issuer's securities held by Gilde Healthcare for 180 days following February 5, 2026. The terms and provisions of such lock-up agreement are described more fully in the Registration Statement, and the above summary is qualified by reference to such description and the full text of the lock-up agreement, a form of which is filed as Exhibit 3 to this Statement and is incorporated herein by reference. Upon consummation of the Offering, the Issuer entered into an indemnification agreement with each of its directors, including Mr. Pardo. The indemnification agreement requires the Issuer, among other things, to indemnify Mr. Pardo against liabilities that may arise by reason of his status or service. The indemnification agreement also requires the Issuer to advance all expenses reasonably and actually incurred by Mr. Pardo in investigating or defending any such action, suit or proceeding. The terms and provisions of the indemnification agreement are described more fully in the Registration Statement, and the above summary is qualified by reference to such description and the full text of the indemnification agreement, a form of which is filed as Exhibit 4 to this Statement and is incorporated herein by reference. Mr. Pardo, in his capacity as director, may be entitled to receive cash compensation and equity compensation, including stock options, restricted stock units or other equity awards pursuant to a plan or policy with regard to compensation of members of the board of directors of the Issuer.</w:t>
      </w:r>
    </w:p>
    <w:p>
      <w:pPr>
        <w:spacing w:after="0" w:line="26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0"/>
        <w:spacing w:after="0" w:line="234" w:lineRule="auto"/>
        <w:rPr>
          <w:sz w:val="20"/>
          <w:szCs w:val="20"/>
          <w:color w:val="auto"/>
        </w:rPr>
      </w:pPr>
      <w:r>
        <w:rPr>
          <w:rFonts w:ascii="Times New Roman" w:cs="Times New Roman" w:eastAsia="Times New Roman" w:hAnsi="Times New Roman"/>
          <w:sz w:val="22"/>
          <w:szCs w:val="22"/>
          <w:color w:val="auto"/>
        </w:rPr>
        <w:t>Exhibit 1 - Joint Filing Agreement, dated February 13, 2026, by and among the Reporting Persons (filed herewith). Exhibit 2 - Amended and Restated Investors' Rights Agreement, dated May 30, 2025, by and among the Issuer and the holders listed therein (filed as Exhibit 4.2 to the Issuer's Registration Statement on Form S-1 as filed with the Commission on January 16, 2026 (SEC File No. 333-292779) and incorporated herein by reference). Exhibit 3 - Form of Lock-Up Agreement (filed as Exhibit A to the Underwriting Agreement, which is filed as Exhibit 1.1 to the Issuer's Registration Statement on Form S-1/A as filed with the Commission on January 29, 2026 (SEC File No. 333-292779) and incorporated herein by reference). Exhibit 4 - Form of Indemnification Agreement between the Issuer and its directors and officers (filed as Exhibit 10.1 to the Issuer's Registration Statement on Form S-1 as filed with the Commission on January 16, 2026 (SEC File No. 333-292779) and incorporated herein by reference).</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Gilde Healthcare Holding B.V.</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Edwin de Graaf</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Edwin de Graaf/Managing Director</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Gilde Healthcare VG VI Management B.V.</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Edwin de Graaf</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Edwin de Graaf/Managing Director</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Cooperatieve Gilde Healthcare VG VI U.A.</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Edwin de Graaf</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Edwin de Graaf/Managing Director of Gilde</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Healthcare VG VI Management B.V., as Manager</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Cooperatieve Gilde Healthcare VG VI U.A.</w:t>
      </w:r>
    </w:p>
    <w:p>
      <w:pPr>
        <w:sectPr>
          <w:pgSz w:w="11900" w:h="16838" w:orient="portrait"/>
          <w:cols w:equalWidth="0" w:num="1">
            <w:col w:w="11140"/>
          </w:cols>
          <w:pgMar w:left="360" w:top="111" w:right="399" w:bottom="0" w:gutter="0" w:footer="0" w:header="0"/>
        </w:sectPr>
      </w:pPr>
    </w:p>
    <w:bookmarkStart w:id="7" w:name="page8"/>
    <w:bookmarkEnd w:id="7"/>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Manapouri B.V.</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Edwin de Graaf</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Edwin de Graaf/Managing Director</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Martemanshurk B.V.</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Pieter van der Meer</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1"/>
          <w:szCs w:val="21"/>
          <w:color w:val="auto"/>
        </w:rPr>
        <w:t>Name/Title: Pieter van der Meer/Managing Director</w:t>
      </w:r>
    </w:p>
    <w:p>
      <w:pPr>
        <w:spacing w:after="0" w:line="56"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2"/>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2026-02-13T15:16:40Z</dcterms:created>
  <dcterms:modified xsi:type="dcterms:W3CDTF">2026-02-13T15:16:40Z</dcterms:modified>
</cp:coreProperties>
</file>